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28" w:rsidRPr="004E3A28" w:rsidRDefault="004E3A28" w:rsidP="004E3A28">
      <w:p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Le </w:t>
      </w:r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>prestazioni sanitarie da eseguire</w:t>
      </w:r>
      <w:r w:rsidRPr="004E3A28">
        <w:rPr>
          <w:rFonts w:ascii="Arial" w:eastAsia="Times New Roman" w:hAnsi="Arial" w:cs="Arial"/>
          <w:color w:val="8E9DAE"/>
          <w:lang w:eastAsia="it-IT"/>
        </w:rPr>
        <w:t>, cosi come gli esami di laboratorio, dipendono dalla tipologia aziendale e dalle caratteristiche dei luoghi di lavoro; fondamentale nella determinazione è di conseguenza il </w:t>
      </w:r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>documento di valutazione dei rischi aziendali</w:t>
      </w:r>
      <w:r w:rsidRPr="004E3A28">
        <w:rPr>
          <w:rFonts w:ascii="Arial" w:eastAsia="Times New Roman" w:hAnsi="Arial" w:cs="Arial"/>
          <w:color w:val="8E9DAE"/>
          <w:lang w:eastAsia="it-IT"/>
        </w:rPr>
        <w:t>.</w:t>
      </w:r>
    </w:p>
    <w:p w:rsidR="004E3A28" w:rsidRPr="004E3A28" w:rsidRDefault="004E3A28" w:rsidP="004E3A28">
      <w:p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Il numero delle prestazioni varia da un minimo di </w:t>
      </w:r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>uno </w:t>
      </w:r>
      <w:r w:rsidRPr="004E3A28">
        <w:rPr>
          <w:rFonts w:ascii="Arial" w:eastAsia="Times New Roman" w:hAnsi="Arial" w:cs="Arial"/>
          <w:color w:val="8E9DAE"/>
          <w:lang w:eastAsia="it-IT"/>
        </w:rPr>
        <w:t>(visita medica generale del lavoro), ad un massimo di </w:t>
      </w:r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>sei</w:t>
      </w:r>
      <w:r w:rsidRPr="004E3A28">
        <w:rPr>
          <w:rFonts w:ascii="Arial" w:eastAsia="Times New Roman" w:hAnsi="Arial" w:cs="Arial"/>
          <w:color w:val="8E9DAE"/>
          <w:lang w:eastAsia="it-IT"/>
        </w:rPr>
        <w:t>, in assenza di patologie che richiedano ulteriori accertamenti sanitari.</w:t>
      </w:r>
    </w:p>
    <w:p w:rsidR="004E3A28" w:rsidRPr="004E3A28" w:rsidRDefault="004E3A28" w:rsidP="004E3A28">
      <w:pPr>
        <w:shd w:val="clear" w:color="auto" w:fill="F5FAFD"/>
        <w:spacing w:after="240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fldChar w:fldCharType="begin"/>
      </w:r>
      <w:r w:rsidRPr="004E3A28">
        <w:rPr>
          <w:rFonts w:ascii="Arial" w:eastAsia="Times New Roman" w:hAnsi="Arial" w:cs="Arial"/>
          <w:color w:val="8E9DAE"/>
          <w:lang w:eastAsia="it-IT"/>
        </w:rPr>
        <w:instrText xml:space="preserve"> INCLUDEPICTURE "http://www.sitaconsulting.it/wp-content/uploads/2017/12/Medicina-del-lavoro.jpg" \* MERGEFORMATINET </w:instrText>
      </w:r>
      <w:r w:rsidRPr="004E3A28">
        <w:rPr>
          <w:rFonts w:ascii="Arial" w:eastAsia="Times New Roman" w:hAnsi="Arial" w:cs="Arial"/>
          <w:color w:val="8E9DAE"/>
          <w:lang w:eastAsia="it-IT"/>
        </w:rPr>
        <w:fldChar w:fldCharType="separate"/>
      </w:r>
      <w:r w:rsidRPr="004E3A28">
        <w:rPr>
          <w:rFonts w:ascii="Arial" w:eastAsia="Times New Roman" w:hAnsi="Arial" w:cs="Arial"/>
          <w:noProof/>
          <w:color w:val="8E9DAE"/>
          <w:lang w:eastAsia="it-IT"/>
        </w:rPr>
        <w:drawing>
          <wp:inline distT="0" distB="0" distL="0" distR="0">
            <wp:extent cx="6116320" cy="4069715"/>
            <wp:effectExtent l="0" t="0" r="5080" b="0"/>
            <wp:docPr id="2" name="Immagine 2" descr="http://www.sitaconsulting.it/wp-content/uploads/2017/12/Medicina-del-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taconsulting.it/wp-content/uploads/2017/12/Medicina-del-lavo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28">
        <w:rPr>
          <w:rFonts w:ascii="Arial" w:eastAsia="Times New Roman" w:hAnsi="Arial" w:cs="Arial"/>
          <w:color w:val="8E9DAE"/>
          <w:lang w:eastAsia="it-IT"/>
        </w:rPr>
        <w:fldChar w:fldCharType="end"/>
      </w:r>
    </w:p>
    <w:p w:rsidR="004E3A28" w:rsidRPr="004E3A28" w:rsidRDefault="004E3A28" w:rsidP="004E3A28">
      <w:p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 xml:space="preserve">SITA </w:t>
      </w:r>
      <w:proofErr w:type="spellStart"/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>Consulting</w:t>
      </w:r>
      <w:proofErr w:type="spellEnd"/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 xml:space="preserve"> mette a disposizione medici specialisti in ogni branca</w:t>
      </w:r>
      <w:r w:rsidRPr="004E3A28">
        <w:rPr>
          <w:rFonts w:ascii="Arial" w:eastAsia="Times New Roman" w:hAnsi="Arial" w:cs="Arial"/>
          <w:color w:val="8E9DAE"/>
          <w:lang w:eastAsia="it-IT"/>
        </w:rPr>
        <w:t>: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Visita medica generale del lavoro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Esame audiometrico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Esame spirometrico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Esame elettrocardiografico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 xml:space="preserve">Visita oculistica / </w:t>
      </w:r>
      <w:proofErr w:type="spellStart"/>
      <w:r w:rsidRPr="004E3A28">
        <w:rPr>
          <w:rFonts w:ascii="Arial" w:eastAsia="Times New Roman" w:hAnsi="Arial" w:cs="Arial"/>
          <w:color w:val="8E9DAE"/>
          <w:lang w:eastAsia="it-IT"/>
        </w:rPr>
        <w:t>ergovision</w:t>
      </w:r>
      <w:proofErr w:type="spellEnd"/>
      <w:r w:rsidRPr="004E3A28">
        <w:rPr>
          <w:rFonts w:ascii="Arial" w:eastAsia="Times New Roman" w:hAnsi="Arial" w:cs="Arial"/>
          <w:color w:val="8E9DAE"/>
          <w:lang w:eastAsia="it-IT"/>
        </w:rPr>
        <w:t xml:space="preserve"> / </w:t>
      </w:r>
      <w:proofErr w:type="spellStart"/>
      <w:r w:rsidRPr="004E3A28">
        <w:rPr>
          <w:rFonts w:ascii="Arial" w:eastAsia="Times New Roman" w:hAnsi="Arial" w:cs="Arial"/>
          <w:color w:val="8E9DAE"/>
          <w:lang w:eastAsia="it-IT"/>
        </w:rPr>
        <w:t>visiocampitest</w:t>
      </w:r>
      <w:proofErr w:type="spellEnd"/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Esame ecografico ed esame radiografico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 xml:space="preserve">Esami </w:t>
      </w:r>
      <w:proofErr w:type="spellStart"/>
      <w:r w:rsidRPr="004E3A28">
        <w:rPr>
          <w:rFonts w:ascii="Arial" w:eastAsia="Times New Roman" w:hAnsi="Arial" w:cs="Arial"/>
          <w:color w:val="8E9DAE"/>
          <w:lang w:eastAsia="it-IT"/>
        </w:rPr>
        <w:t>clinicochimici</w:t>
      </w:r>
      <w:proofErr w:type="spellEnd"/>
      <w:r w:rsidRPr="004E3A28">
        <w:rPr>
          <w:rFonts w:ascii="Arial" w:eastAsia="Times New Roman" w:hAnsi="Arial" w:cs="Arial"/>
          <w:color w:val="8E9DAE"/>
          <w:lang w:eastAsia="it-IT"/>
        </w:rPr>
        <w:t xml:space="preserve"> di laboratorio ed analisi </w:t>
      </w:r>
      <w:proofErr w:type="spellStart"/>
      <w:r w:rsidRPr="004E3A28">
        <w:rPr>
          <w:rFonts w:ascii="Arial" w:eastAsia="Times New Roman" w:hAnsi="Arial" w:cs="Arial"/>
          <w:color w:val="8E9DAE"/>
          <w:lang w:eastAsia="it-IT"/>
        </w:rPr>
        <w:t>biotossicologiche</w:t>
      </w:r>
      <w:proofErr w:type="spellEnd"/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Visita apparato locomotore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 xml:space="preserve">Visite </w:t>
      </w:r>
      <w:proofErr w:type="spellStart"/>
      <w:r w:rsidRPr="004E3A28">
        <w:rPr>
          <w:rFonts w:ascii="Arial" w:eastAsia="Times New Roman" w:hAnsi="Arial" w:cs="Arial"/>
          <w:color w:val="8E9DAE"/>
          <w:lang w:eastAsia="it-IT"/>
        </w:rPr>
        <w:t>preassuntive</w:t>
      </w:r>
      <w:proofErr w:type="spellEnd"/>
      <w:r w:rsidRPr="004E3A28">
        <w:rPr>
          <w:rFonts w:ascii="Arial" w:eastAsia="Times New Roman" w:hAnsi="Arial" w:cs="Arial"/>
          <w:color w:val="8E9DAE"/>
          <w:lang w:eastAsia="it-IT"/>
        </w:rPr>
        <w:t xml:space="preserve"> e/o periodiche dei dipendenti con rilascio dell’idoneità lavorativa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Istruzione ed aggiornamento della cartella sanitaria e di rischio dei dipendenti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Trasmissione all’azienda delle idoneità lavorative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Comunicazione dell’esito delle indagini sanitarie ai dipendenti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Sopralluogo degli ambienti di lavoro concordato con il datore di lavoro ed i preposti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Consulenza ed assistenza nei rapporti con gli enti pubblici di vigilanza</w:t>
      </w:r>
    </w:p>
    <w:p w:rsidR="004E3A28" w:rsidRPr="004E3A28" w:rsidRDefault="004E3A28" w:rsidP="004E3A28">
      <w:pPr>
        <w:numPr>
          <w:ilvl w:val="0"/>
          <w:numId w:val="1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Collaborazione con il datore di lavoro ed i preposti nella valutazione dei rischi</w:t>
      </w:r>
    </w:p>
    <w:p w:rsidR="004E3A28" w:rsidRPr="004E3A28" w:rsidRDefault="004E3A28" w:rsidP="004E3A28">
      <w:pPr>
        <w:shd w:val="clear" w:color="auto" w:fill="F5FAFD"/>
        <w:spacing w:beforeAutospacing="1" w:afterAutospacing="1"/>
        <w:outlineLvl w:val="2"/>
        <w:rPr>
          <w:rFonts w:ascii="Arial" w:eastAsia="Times New Roman" w:hAnsi="Arial" w:cs="Arial"/>
          <w:b/>
          <w:bCs/>
          <w:color w:val="3C424F"/>
          <w:sz w:val="27"/>
          <w:szCs w:val="27"/>
          <w:lang w:eastAsia="it-IT"/>
        </w:rPr>
      </w:pPr>
      <w:r w:rsidRPr="004E3A28">
        <w:rPr>
          <w:rFonts w:ascii="Arial" w:eastAsia="Times New Roman" w:hAnsi="Arial" w:cs="Arial"/>
          <w:b/>
          <w:bCs/>
          <w:color w:val="3C424F"/>
          <w:sz w:val="27"/>
          <w:szCs w:val="27"/>
          <w:lang w:eastAsia="it-IT"/>
        </w:rPr>
        <w:t>Sorveglianza sanitaria preventiva e periodica</w:t>
      </w:r>
    </w:p>
    <w:p w:rsidR="004E3A28" w:rsidRPr="004E3A28" w:rsidRDefault="004E3A28" w:rsidP="004E3A28">
      <w:pPr>
        <w:shd w:val="clear" w:color="auto" w:fill="F5FAFD"/>
        <w:spacing w:after="240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lastRenderedPageBreak/>
        <w:fldChar w:fldCharType="begin"/>
      </w:r>
      <w:r w:rsidRPr="004E3A28">
        <w:rPr>
          <w:rFonts w:ascii="Arial" w:eastAsia="Times New Roman" w:hAnsi="Arial" w:cs="Arial"/>
          <w:color w:val="8E9DAE"/>
          <w:lang w:eastAsia="it-IT"/>
        </w:rPr>
        <w:instrText xml:space="preserve"> INCLUDEPICTURE "http://www.sitaconsulting.it/wp-content/uploads/2017/12/Medicina-del-lavoro-Milano-Monza.jpg" \* MERGEFORMATINET </w:instrText>
      </w:r>
      <w:r w:rsidRPr="004E3A28">
        <w:rPr>
          <w:rFonts w:ascii="Arial" w:eastAsia="Times New Roman" w:hAnsi="Arial" w:cs="Arial"/>
          <w:color w:val="8E9DAE"/>
          <w:lang w:eastAsia="it-IT"/>
        </w:rPr>
        <w:fldChar w:fldCharType="separate"/>
      </w:r>
      <w:bookmarkStart w:id="0" w:name="_GoBack"/>
      <w:r w:rsidRPr="004E3A28">
        <w:rPr>
          <w:rFonts w:ascii="Arial" w:eastAsia="Times New Roman" w:hAnsi="Arial" w:cs="Arial"/>
          <w:noProof/>
          <w:color w:val="8E9DAE"/>
          <w:lang w:eastAsia="it-IT"/>
        </w:rPr>
        <w:drawing>
          <wp:inline distT="0" distB="0" distL="0" distR="0">
            <wp:extent cx="6116320" cy="4587240"/>
            <wp:effectExtent l="0" t="0" r="5080" b="0"/>
            <wp:docPr id="1" name="Immagine 1" descr="http://www.sitaconsulting.it/wp-content/uploads/2017/12/Medicina-del-lavoro-Milano-Mo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taconsulting.it/wp-content/uploads/2017/12/Medicina-del-lavoro-Milano-Mon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4E3A28">
        <w:rPr>
          <w:rFonts w:ascii="Arial" w:eastAsia="Times New Roman" w:hAnsi="Arial" w:cs="Arial"/>
          <w:color w:val="8E9DAE"/>
          <w:lang w:eastAsia="it-IT"/>
        </w:rPr>
        <w:fldChar w:fldCharType="end"/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Lavoratrici gravide e madri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Minori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Apprendisti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Tirocinanti e stagisti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Collaboratori familiari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Collaboratori coordinati e continuativi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Lavoratori interinali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Operatori in miniere e cave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Operatori notturni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Operatori esposti a campi elettrici, magnetici ed elettromagnetici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Operatori disabili</w:t>
      </w:r>
    </w:p>
    <w:p w:rsidR="004E3A28" w:rsidRPr="004E3A28" w:rsidRDefault="004E3A28" w:rsidP="004E3A28">
      <w:pPr>
        <w:numPr>
          <w:ilvl w:val="0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b/>
          <w:bCs/>
          <w:color w:val="8E9DAE"/>
          <w:lang w:eastAsia="it-IT"/>
        </w:rPr>
        <w:t>Piano vaccinazioni in ambiente di lavoro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Antitetanica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Antiepatite B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Antitifica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Vaccino antipoliomielitico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Antitubercolare BCG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Antiepatite A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>Antinfluenzale</w:t>
      </w:r>
    </w:p>
    <w:p w:rsidR="004E3A28" w:rsidRPr="004E3A28" w:rsidRDefault="004E3A28" w:rsidP="004E3A28">
      <w:pPr>
        <w:numPr>
          <w:ilvl w:val="1"/>
          <w:numId w:val="2"/>
        </w:numPr>
        <w:shd w:val="clear" w:color="auto" w:fill="F5FAFD"/>
        <w:rPr>
          <w:rFonts w:ascii="Arial" w:eastAsia="Times New Roman" w:hAnsi="Arial" w:cs="Arial"/>
          <w:color w:val="8E9DAE"/>
          <w:lang w:eastAsia="it-IT"/>
        </w:rPr>
      </w:pPr>
      <w:r w:rsidRPr="004E3A28">
        <w:rPr>
          <w:rFonts w:ascii="Arial" w:eastAsia="Times New Roman" w:hAnsi="Arial" w:cs="Arial"/>
          <w:color w:val="8E9DAE"/>
          <w:lang w:eastAsia="it-IT"/>
        </w:rPr>
        <w:t xml:space="preserve">Vaccinazioni ai </w:t>
      </w:r>
      <w:proofErr w:type="spellStart"/>
      <w:r w:rsidRPr="004E3A28">
        <w:rPr>
          <w:rFonts w:ascii="Arial" w:eastAsia="Times New Roman" w:hAnsi="Arial" w:cs="Arial"/>
          <w:color w:val="8E9DAE"/>
          <w:lang w:eastAsia="it-IT"/>
        </w:rPr>
        <w:t>working</w:t>
      </w:r>
      <w:proofErr w:type="spellEnd"/>
      <w:r w:rsidRPr="004E3A28">
        <w:rPr>
          <w:rFonts w:ascii="Arial" w:eastAsia="Times New Roman" w:hAnsi="Arial" w:cs="Arial"/>
          <w:color w:val="8E9DAE"/>
          <w:lang w:eastAsia="it-IT"/>
        </w:rPr>
        <w:t xml:space="preserve"> travellers</w:t>
      </w:r>
    </w:p>
    <w:p w:rsidR="00DD471C" w:rsidRDefault="004E3A28"/>
    <w:sectPr w:rsidR="00DD471C" w:rsidSect="00BE25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987"/>
    <w:multiLevelType w:val="multilevel"/>
    <w:tmpl w:val="6F42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C0F12"/>
    <w:multiLevelType w:val="multilevel"/>
    <w:tmpl w:val="D390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28"/>
    <w:rsid w:val="00045B43"/>
    <w:rsid w:val="002B38CC"/>
    <w:rsid w:val="002C2A6F"/>
    <w:rsid w:val="002C726B"/>
    <w:rsid w:val="00387148"/>
    <w:rsid w:val="00472803"/>
    <w:rsid w:val="004D4A90"/>
    <w:rsid w:val="004E3A28"/>
    <w:rsid w:val="00902BBE"/>
    <w:rsid w:val="009551B6"/>
    <w:rsid w:val="00BE2535"/>
    <w:rsid w:val="00FE1F80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7EB06"/>
  <w14:defaultImageDpi w14:val="32767"/>
  <w15:chartTrackingRefBased/>
  <w15:docId w15:val="{D9A8A2E9-62C5-F64F-A287-7058799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3A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3A2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3A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E3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Giudice</dc:creator>
  <cp:keywords/>
  <dc:description/>
  <cp:lastModifiedBy>Enzo Giudice</cp:lastModifiedBy>
  <cp:revision>1</cp:revision>
  <dcterms:created xsi:type="dcterms:W3CDTF">2018-05-20T16:48:00Z</dcterms:created>
  <dcterms:modified xsi:type="dcterms:W3CDTF">2018-05-20T16:49:00Z</dcterms:modified>
</cp:coreProperties>
</file>